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37D0" w:rsidRPr="000B37D0" w:rsidRDefault="000B37D0" w:rsidP="000B37D0">
      <w:pPr>
        <w:spacing w:after="0" w:line="240" w:lineRule="auto"/>
        <w:ind w:left="142" w:firstLine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15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20"/>
      </w:tblGrid>
      <w:tr w:rsidR="000B37D0" w:rsidRPr="000B37D0" w:rsidTr="000B37D0">
        <w:trPr>
          <w:tblCellSpacing w:w="15" w:type="dxa"/>
        </w:trPr>
        <w:tc>
          <w:tcPr>
            <w:tcW w:w="0" w:type="auto"/>
            <w:hideMark/>
          </w:tcPr>
          <w:p w:rsidR="000B37D0" w:rsidRPr="000B37D0" w:rsidRDefault="000B37D0" w:rsidP="000B37D0">
            <w:pPr>
              <w:rPr>
                <w:lang w:eastAsia="ru-RU"/>
              </w:rPr>
            </w:pPr>
            <w:r w:rsidRPr="000B37D0">
              <w:rPr>
                <w:lang w:eastAsia="ru-RU"/>
              </w:rPr>
              <w:t>Лекция 2. Математические основы финансово-экономических расчетов при принятии финансово-кредитных решений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1. Базовые понятия финансовой математики. Способы начисления процентов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2. Простые и сложные ставки ссудных процентов.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3. Простые и сложные учетные ставки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4. Эквивалентность процентных ставок различного типа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5. Учет инфляционного обесценения денег в принятии финансовых решений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1. Проценты - это доход от предоставления капитала в долг в различных формах (ссуды, кредиты и т.д.)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либо от инвестиций производственного или финансового характера.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Процентная ставка - величина, характеризующая интенсивность начисления процентов.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Наращение (рост) первоначальной суммы долга - увеличение суммы долга за счет присоединения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начисленных процентов (дохода).,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Множитель (коэффициент) наращения - это величина, показывающая, во сколько раз вырос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первоначальный капитал.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Период начисления - промежуток времени, за который начисляются проценты (получается доход)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Интервал начисления - минимальный период, по прошествии которого происходит начисление процентов,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Существуют две концепции и, соответственно, два способа определения и начисления процентов: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декурсивный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 xml:space="preserve"> и </w:t>
            </w: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антисипативный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 xml:space="preserve"> (предварительный).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При Рекурсивном способе проценты начисляются в конце каждого интервала начисления.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При </w:t>
            </w: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антисипатнкном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 xml:space="preserve"> способе проценты начисляются в начале каждого интервала начисления.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В мировой практике </w:t>
            </w: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декурсивный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 xml:space="preserve"> способ начисления процентов получил наибольшее распространение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. В странах развитой рыночной экономики </w:t>
            </w: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антисипативныи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 xml:space="preserve"> метод начисления процентов применялся,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как правило, в периоды высокой инфляции.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При обоих способах начисления процентов процентные ставки могут быть либо простыми (если они 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применяются к одной и той же первоначальной денежной сумме в течение всего периода начисления), 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либо сложными (если по прошествии каждого интервала начисления они применяются к сумме долга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 и начисленных за предыдущие интервалы процентов)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2. Простые ставки ссудных (</w:t>
            </w: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декурсивпых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>) процентов применяются обычно в краткосрочных финансовых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 операциях, когда интервал начисления совпадает с периодом начисления (и составляет, как правило, 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срок менее одного года), </w:t>
            </w:r>
            <w:proofErr w:type="gramStart"/>
            <w:r w:rsidRPr="000B37D0">
              <w:rPr>
                <w:rFonts w:ascii="Times New Roman" w:hAnsi="Times New Roman" w:cs="Times New Roman"/>
                <w:lang w:eastAsia="ru-RU"/>
              </w:rPr>
              <w:t>или</w:t>
            </w:r>
            <w:proofErr w:type="gramEnd"/>
            <w:r w:rsidRPr="000B37D0">
              <w:rPr>
                <w:rFonts w:ascii="Times New Roman" w:hAnsi="Times New Roman" w:cs="Times New Roman"/>
                <w:lang w:eastAsia="ru-RU"/>
              </w:rPr>
              <w:t xml:space="preserve"> когда после каждого интервала начисления кредитору выплачиваются 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проценты. Естественно, простые ставки ссудных процентов могут применяться и в любых других случаях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 по договоренности участвующих в операции сторон.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Введем следующие обозначения: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lastRenderedPageBreak/>
              <w:t>i (%) - простая годовая ставка ссудного процента;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i - относительная величина годовой ставки процентов;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I</w:t>
            </w:r>
            <w:r w:rsidRPr="000B37D0">
              <w:rPr>
                <w:rFonts w:ascii="Times New Roman" w:hAnsi="Times New Roman" w:cs="Times New Roman"/>
                <w:vertAlign w:val="subscript"/>
                <w:lang w:eastAsia="ru-RU"/>
              </w:rPr>
              <w:t>г</w:t>
            </w:r>
            <w:proofErr w:type="spellEnd"/>
            <w:r w:rsidRPr="000B37D0">
              <w:rPr>
                <w:rFonts w:ascii="Times New Roman" w:hAnsi="Times New Roman" w:cs="Times New Roman"/>
                <w:vertAlign w:val="subscript"/>
                <w:lang w:eastAsia="ru-RU"/>
              </w:rPr>
              <w:t> </w:t>
            </w:r>
            <w:r w:rsidRPr="000B37D0">
              <w:rPr>
                <w:rFonts w:ascii="Times New Roman" w:hAnsi="Times New Roman" w:cs="Times New Roman"/>
                <w:lang w:eastAsia="ru-RU"/>
              </w:rPr>
              <w:t>- сумма процентных денег, выплачиваемых за год;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I - общая сумма процентных денег за весь период начисления;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P- величина первоначальной денежной суммы;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S - наращенная сумма;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К</w:t>
            </w:r>
            <w:r w:rsidRPr="000B37D0">
              <w:rPr>
                <w:rFonts w:ascii="Times New Roman" w:hAnsi="Times New Roman" w:cs="Times New Roman"/>
                <w:vertAlign w:val="subscript"/>
                <w:lang w:eastAsia="ru-RU"/>
              </w:rPr>
              <w:t>н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> - коэффициент наращения;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 - продолжительность периода начисления в годах;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- продолжительность периода начисления в днях;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К- продолжительность года в днях.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Величина К является временной базой для расчета процентов.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В зависимости от способа определения продолжительности финансовой операции рассчитывается либо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 точный, либо обыкновенный (коммерческий) процент.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Дата выдачи и дата погашения ссуды всегда считаются за один день. При этом возможны два варианта: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используется точное число дней ссуды, определяемое, по специальной таблице, где показаны порядковые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 номера каждого дня года; из номера, соответствующего дню окончания займа, вычитают номер первого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дня;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берется приблизительное число дней ссуды, когда продолжительность полного месяца принимается 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равной 30 дням; этот метод используется, когда не требуется большая точность, например, при частичном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погашении займа.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Точный процент получают в случае, когда за временную базу берут фактическое число дней в году (365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 или 366) и точное число дней ссуды.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Определение современной величины Р наращенной суммы S называется дисконтированием, а определение величины наращенной суммы S-</w:t>
            </w: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компаудированием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>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- </w:t>
            </w: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компаудирование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 xml:space="preserve"> по простой ссудной ставке;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809625" cy="419100"/>
                  <wp:effectExtent l="0" t="0" r="9525" b="0"/>
                  <wp:docPr id="10" name="Рисунок 10" descr="https://vuzlit.com/imag_/27/280663/image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vuzlit.com/imag_/27/280663/image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- дисконтирование по простой ссудной ставке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Если продолжительность ссуды менее одного года: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1019175" cy="390525"/>
                  <wp:effectExtent l="0" t="0" r="9525" b="9525"/>
                  <wp:docPr id="9" name="Рисунок 9" descr="https://vuzlit.com/imag_/27/280663/image0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vuzlit.com/imag_/27/280663/image0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B37D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695325" cy="457200"/>
                  <wp:effectExtent l="0" t="0" r="9525" b="0"/>
                  <wp:docPr id="8" name="Рисунок 8" descr="https://vuzlit.com/imag_/27/280663/image00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vuzlit.com/imag_/27/280663/image00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B37D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495300" cy="390525"/>
                  <wp:effectExtent l="0" t="0" r="0" b="9525"/>
                  <wp:docPr id="7" name="Рисунок 7" descr="https://vuzlit.com/imag_/27/280663/image00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vuzlit.com/imag_/27/280663/image00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;;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- </w:t>
            </w: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компаудирование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 xml:space="preserve"> по сложной ссудной ставке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noProof/>
                <w:lang w:eastAsia="ru-RU"/>
              </w:rPr>
              <w:lastRenderedPageBreak/>
              <w:drawing>
                <wp:inline distT="0" distB="0" distL="0" distR="0">
                  <wp:extent cx="723900" cy="419100"/>
                  <wp:effectExtent l="0" t="0" r="0" b="0"/>
                  <wp:docPr id="6" name="Рисунок 6" descr="https://vuzlit.com/imag_/27/280663/image00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vuzlit.com/imag_/27/280663/image00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- дисконтирование по сложной ссудной ставке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3. Доход, полученный по учетной ставке, т.е. разница между размером кредита и непосредственно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 выдаваемой суммой, называется дисконтом.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Пусть: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0B37D0">
              <w:rPr>
                <w:rFonts w:ascii="Times New Roman" w:hAnsi="Times New Roman" w:cs="Times New Roman"/>
                <w:lang w:eastAsia="ru-RU"/>
              </w:rPr>
              <w:t>d(</w:t>
            </w:r>
            <w:proofErr w:type="gramEnd"/>
            <w:r w:rsidRPr="000B37D0">
              <w:rPr>
                <w:rFonts w:ascii="Times New Roman" w:hAnsi="Times New Roman" w:cs="Times New Roman"/>
                <w:lang w:eastAsia="ru-RU"/>
              </w:rPr>
              <w:t>%) - простая годовая учетная ставка;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d - относительная величина учетной ставки;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D</w:t>
            </w:r>
            <w:r w:rsidRPr="000B37D0">
              <w:rPr>
                <w:rFonts w:ascii="Times New Roman" w:hAnsi="Times New Roman" w:cs="Times New Roman"/>
                <w:vertAlign w:val="subscript"/>
                <w:lang w:eastAsia="ru-RU"/>
              </w:rPr>
              <w:t>г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> - сумма процентных денег, выплачиваемая за год;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D - общая сумма процентных денег;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S-сумма, которая должна быть возвращена;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Р -- сумма, получаемая заемщиком.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Тогда, согласно определениям, имеем следующие формулы: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; ; 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1066800" cy="390525"/>
                  <wp:effectExtent l="0" t="0" r="0" b="9525"/>
                  <wp:docPr id="5" name="Рисунок 5" descr="https://vuzlit.com/imag_/27/280663/image00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vuzlit.com/imag_/27/280663/image00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B37D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914400" cy="581025"/>
                  <wp:effectExtent l="0" t="0" r="0" b="9525"/>
                  <wp:docPr id="4" name="Рисунок 4" descr="https://vuzlit.com/imag_/27/280663/image0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vuzlit.com/imag_/27/280663/image0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На практике учетные ставки применяются главным образом при учете (т.е. покупке) векселей и других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денежных обязательств.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4. Эквивалентные процентные ставки - это такие процентные ставки разного вида, применение которых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при различных начальных условиях дает одинаковые финансовые результаты.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Эквивалентные процентные ставки необходимо знать в случаях, когда существует возможность выбора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 условий финансовой операции и требуется инструмент для корректного сравнения различных процентных ставок.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Для нахождения эквивалентных процентных ставок используют уравнения эквивалентности, принцип 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составления которых заключается в следующем. Выбирается величина, которую можно рассчитать при 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использовании различных процентных ставок (обычно это наращенная сумма S). На основе равенства 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двух выражений для данной величины составляется уравнение эквивалентности, из которого путем 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соответствующих преобразований получается соотношение, выражающее зависимость между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процентными ставками различного вида.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Аналогичным образом получаем зависимости между любыми другими эквивалентными процентными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 ставками.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Проанализировав уравнения эквивалентности, можно отметить, что: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эквивалентность различных процентных ставок никогда не зависит от величины первоначальной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lastRenderedPageBreak/>
              <w:t xml:space="preserve"> суммы Р (для данного рассматриваемого случая, когда первоначальная сумма Р предполагается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одинаковой);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эквивалентность процентных ставок всегда зависит от продолжительности периода начисления за 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исключением случая эквивалентности между собой сложных процентных ставок разного вида (если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период начисления один и тот же).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5. Инфляция характеризуется обесценением национальной валюты (т.е. снижением ее покупательной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способности) и общим повышением цен в стране.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Во избежание ошибок и потерь в условиях снижения покупательной способности денег рассмотрим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 механизм влияния инфляции на результат финансовых операций и проведем несложные математические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 расчеты и преобразования.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Пусть </w:t>
            </w: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S</w:t>
            </w:r>
            <w:r w:rsidRPr="000B37D0">
              <w:rPr>
                <w:rFonts w:ascii="Times New Roman" w:hAnsi="Times New Roman" w:cs="Times New Roman"/>
                <w:vertAlign w:val="subscript"/>
                <w:lang w:eastAsia="ru-RU"/>
              </w:rPr>
              <w:t>a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> - сумма, покупательная способность которой е учетом инфляции равна покупательной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 способности суммы при отсутствии инфляции. Через обозначим разницу между этими суммами.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Отношение / S, выраженное в процентах, называется уровнем инфляции.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504825" cy="390525"/>
                  <wp:effectExtent l="0" t="0" r="9525" b="9525"/>
                  <wp:docPr id="3" name="Рисунок 3" descr="https://vuzlit.com/imag_/27/280663/image00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vuzlit.com/imag_/27/280663/image00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При расчетах используют относительную величину уровня инфляции - темп </w:t>
            </w:r>
            <w:proofErr w:type="gramStart"/>
            <w:r w:rsidRPr="000B37D0">
              <w:rPr>
                <w:rFonts w:ascii="Times New Roman" w:hAnsi="Times New Roman" w:cs="Times New Roman"/>
                <w:lang w:eastAsia="ru-RU"/>
              </w:rPr>
              <w:t>инфляции .</w:t>
            </w:r>
            <w:proofErr w:type="gramEnd"/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Тогда для определения </w:t>
            </w: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S</w:t>
            </w:r>
            <w:r w:rsidRPr="000B37D0">
              <w:rPr>
                <w:rFonts w:ascii="Times New Roman" w:hAnsi="Times New Roman" w:cs="Times New Roman"/>
                <w:vertAlign w:val="subscript"/>
                <w:lang w:eastAsia="ru-RU"/>
              </w:rPr>
              <w:t>а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> получаем следующее выражение: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S</w:t>
            </w:r>
            <w:r w:rsidRPr="000B37D0">
              <w:rPr>
                <w:rFonts w:ascii="Times New Roman" w:hAnsi="Times New Roman" w:cs="Times New Roman"/>
                <w:vertAlign w:val="subscript"/>
                <w:lang w:eastAsia="ru-RU"/>
              </w:rPr>
              <w:t>a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> =S + = S + S=</w:t>
            </w:r>
            <w:proofErr w:type="gramStart"/>
            <w:r w:rsidRPr="000B37D0">
              <w:rPr>
                <w:rFonts w:ascii="Times New Roman" w:hAnsi="Times New Roman" w:cs="Times New Roman"/>
                <w:lang w:eastAsia="ru-RU"/>
              </w:rPr>
              <w:t>S(</w:t>
            </w:r>
            <w:proofErr w:type="gramEnd"/>
            <w:r w:rsidRPr="000B37D0">
              <w:rPr>
                <w:rFonts w:ascii="Times New Roman" w:hAnsi="Times New Roman" w:cs="Times New Roman"/>
                <w:lang w:eastAsia="ru-RU"/>
              </w:rPr>
              <w:t>1+)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Величину (1+) называют индексом инфляции.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Лекция 3. Основной капитал корпораций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1. Экономическая природа, состав и структура основного капитала корпораций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2. Амортизация и се роль в обновлении основного капитала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3. Показатели движения и использования основного капитала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4. Источники финансирования воспроизводства основных средств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1. Основной капитал -- это часть капитала предприятия (корпорации), вложенного в его долгосрочные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активы.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Понятия «</w:t>
            </w: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внеоборотные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 xml:space="preserve"> активы» и «основной капитал» тождественны. Основной капитал включает в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 себя: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нематериальные активы;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новые долгосрочные финансовые инвестиции (вложения);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основные средства, в том числе незавершенные долгосрочные инвестиции.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Субъекты вправе вкладывать средства в нематериальные активы, под которыми понимается стоимость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объектов промышленной и интеллектуальной собственности, а также иных аналогичных имущественных прав.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lastRenderedPageBreak/>
              <w:t xml:space="preserve">Долгосрочные финансовые инвестиции представляют собой затраты на долевое участие в уставном 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капитале в других предприятиях, на приобретение акций и облигаций на долговременной основе.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К финансовым инвестициям относятся также: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долгосрочные займы, выданные другим предприятиям под долговые обязательства;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стоимость имущества, переданного в долгосрочную аренду на праве финансового лизинга (т.е. с правом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выкупа или передачи собственности на имущество по истечении срока аренды).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Основные средства - это средства, вложенные в совокупность материально-вещественных ценностей, 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относящихся к средствам труда.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Стоимость основных средств постепенно погашается в течение срока их полезной эксплуатации путем </w:t>
            </w:r>
          </w:p>
          <w:p w:rsid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ежемесячных амортизационных отчислений, которые включаются в издержки производства или о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бращения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 xml:space="preserve"> за соответствующий отчетный период.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Основные средства, участвуя в процессе производства, постепенно изнашиваются. Различают два вида износа: физический и моральный.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Физический износ основных средств происходит в результате их участия в процессе производства (эксплуатационная форма физического износа) и износа, который непосредственно не связан с эксплуатацией основных средств, а происходит под воздействием различных внешних факторов: влажности, атмосферных осадков, ржавления, старения металла и др. (естественная форма физического износа).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Моральный износ основных средств связан с техническим прогрессом, совершенствованием и обновлением методов производства.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Ремонт основных средств. Основные средства в процессе их эксплуатации подвергаются физическому и моральному износу. Их отдельные части (основные узлы и детали, конструктивные элементы) изнашиваются в более короткий срок, по сравнению с объектом основных средств в целом. Во избежание преждевременного износа основных средств их периодически ремонтируют. По организационно-техническим признакам ремонт подразделяют на капитальный и малый (текущий).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Под капитальным ремонтом понимают восстановление отдельных частей основных средств, которые имеют меньшие сроки износа, по сравнению с объектом в целом.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Текущий ремонт состоит в замене или исправлении отдельных изношенных деталей основных средств для поддержания их в рабочем состоянии. Его проводят в процессе эксплуатации основных средств.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Важное значение имеет планово-предупредительный ремонт, осуществляемый в заранее установленные сроки с целью профилактики основных средств.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2. Амортизация (от </w:t>
            </w: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позднелат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>. - «погашение») - объективный процесс перенесения стоимости основных средств по мере износа на производимый с их помощью продукт; использование специальных денежных средств - амортизационных отчислений, включаемых в издержки производства или обращения, для простого и расширенного производства основных фондов (основного капитала).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Норма амортизации - отношение годовой суммы амортизационных отчислений к среднегодовой стоимости основных средств, выраженное в процентах.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 xml:space="preserve">Амортизация не начисляется по следующим основным средствам: продуктивному скоту, буйволам, волам, оленям; библиотечным фондам; сооружениям городского благоустройства, подведомственным соответствующим администрациям; автомобильным дорогам общего пользования; по основным средствам, переданным по решению Правительства Республики Казахстан или </w:t>
            </w:r>
            <w:proofErr w:type="spellStart"/>
            <w:r w:rsidRPr="000B37D0">
              <w:rPr>
                <w:rFonts w:ascii="Times New Roman" w:hAnsi="Times New Roman" w:cs="Times New Roman"/>
                <w:lang w:eastAsia="ru-RU"/>
              </w:rPr>
              <w:t>акима</w:t>
            </w:r>
            <w:proofErr w:type="spellEnd"/>
            <w:r w:rsidRPr="000B37D0">
              <w:rPr>
                <w:rFonts w:ascii="Times New Roman" w:hAnsi="Times New Roman" w:cs="Times New Roman"/>
                <w:lang w:eastAsia="ru-RU"/>
              </w:rPr>
              <w:t xml:space="preserve"> области па консервацию.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lastRenderedPageBreak/>
              <w:t>В соответствии со стандартом бухгалтерского учета «Учет основных средств», хозяйствующие субъекты вправе предусматривать своей Учетной политикой применение следующих методов начисления амортизации: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а) равномерного (прямолинейного) списания стоимости;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б) списание стоимости пропорционально объему выполненных работ (производственный метод);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в) ускоренного списания: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· уменьшающегося остатка (регрессивный и метод двойной регрессии);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· списания стоимости по сумме чисел (кумулятивный метод).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На исчисление величины амортизации влияют следующие факторы: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первоначальная стоимость;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восстановительная стоимость;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остаточная стоимость;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амортизируемая стоимость;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ликвидационная стоимость;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предполагаемый срок полезного функционирования (эксплуатации).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Оценка основных средств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В соответствии с Международными стандартами бухгалтерского учета (МСБУ). Существуют следующие определения стоимости основных средств: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Первоначальная стоимость - стоимость фактически произведенных затрат (постройки и достройки или приобретения основных средств, включая уплаченные и невозмещаемые налоги (сборы)), а также затраты по доставке и монтажу установке, пуску в эксплуатацию и любые другие расходы, непосредственно связанные с приведением актива в рабочее состояние для его использования по назначению. Первоначальная стоимость основных средств периодически переоценивается с учетом темпов инфляции. Стоимость основных средств с учетом переоценки называется восстановительной стоимостью.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Текущая стоимость - стоимость основных средств по действующим рыночным ценам на определенную дату или сумма, на которую активы могут быть обменены между осведомленными заинтересованными сторонами.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Остаточная стоимость -- первоначальная (восстановительная) стоимость или текущая стоимость основных средств за вычетом суммы накопленной амортизации, по которой актив отражается в учете и отчетности.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4. Ликвидационная стоимость - предполагаемая стоимость активов, возникающая при ликвидации основных средств в конце срока полезной службы за вычетом ожидаемых затрат по выбытию.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5. Амортизационная стоимость - первоначальная стоимость за вычетом ликвидационной стоимости.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К различным видам основных средств допускается применение различных методов начисления амортизации. При этом к одному виду основных средств можно применять только один метод начисления амортизации.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Выбранный метод начисления амортизации должен быть включен в Учетную политику предприятия и применяться последовательно от одного отчетного периода к другому. При изменении метода начисления амортизации в пояснительной записке к годовому отчету должны раскрываться причины, вызвавшие это изменение.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Метод равномерного (прямолинейного) списания Смысл этого метода состоит в том, что изношенная стоимость объекта равномерно списывается (распределяется) на издержки производства или обращения в течение всего срока его службы. Метод основан на том предположении, что износ зависит от длительности срока службы объекта.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lastRenderedPageBreak/>
              <w:t>Характеристики метода равномерного (прямолинейного) списания: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1. амортизируемая стоимость объекта равномерно списывается (распределяется) в течение срока его службы;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2. норма амортизации зависит от длительности срока службы и ликвидационной стоимости;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3. норма амортизации является постоянной.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Производственный метод начисления амортизации (пропорционально объему выполненных работ) основан на том, что амортизация является только результатом эксплуатации объекта и отрезки времени не играют никакой роли в процессе ее исчисления. Стоимость каждой единицы продукции, работ и услуг, производимых на предприятии, «впитывает» в себя равное количество стоимости объектов основных средств, с помощью которых производилась данная продукция, работы и услуги. Таким образом, сумма амортизации за месяц или год определяется путем деления первоначальной стоимости объекта на количество изделий (работ, услуг), которые будут произведены с его участием.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Характеристики метода начисления амортизации пропорционально объему выполненных работ (производственный):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1. амортизация (износ) является результатом эксплуатации, и отрезки времени не играют роли в процессе её начисления;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2. применяется в том случае, когда отдача объекта в течение срока его полезной эксплуатации может быть определена с достаточной точностью.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Метод начисления износа по сумме чисел (кумулятивный метод (от лат. -- «увеличение, скопление») определяется суммой лет срока службы объекта, являющейся знаменателем в расчетном коэффициенте.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Характеристики метода ускоренного списания по сумме чисел: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1. рассчитывается так называемое кумулятивное число, которое определяется как сумма лет срока службы какого-либо объекта и является знаменателем в расчетном коэффициенте;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2. в числителе этого коэффициента находятся числа лет, остающиеся до конца срока службы объекта (обратном порядке).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Метод уменьшающегося остатка состоит в том</w:t>
            </w:r>
            <w:proofErr w:type="gramStart"/>
            <w:r w:rsidRPr="000B37D0">
              <w:rPr>
                <w:rFonts w:ascii="Times New Roman" w:hAnsi="Times New Roman" w:cs="Times New Roman"/>
                <w:lang w:eastAsia="ru-RU"/>
              </w:rPr>
              <w:t>.</w:t>
            </w:r>
            <w:proofErr w:type="gramEnd"/>
            <w:r w:rsidRPr="000B37D0">
              <w:rPr>
                <w:rFonts w:ascii="Times New Roman" w:hAnsi="Times New Roman" w:cs="Times New Roman"/>
                <w:lang w:eastAsia="ru-RU"/>
              </w:rPr>
              <w:t xml:space="preserve"> что начисление амортизации производится 1-й год от первоначальной, а все последующие годы от балансовой (остаточной) стоимости объекта.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Характеристики метода ускоренного списания - метода уменьшающегося остатка: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1. норма амортизации та же</w:t>
            </w:r>
            <w:proofErr w:type="gramStart"/>
            <w:r w:rsidRPr="000B37D0">
              <w:rPr>
                <w:rFonts w:ascii="Times New Roman" w:hAnsi="Times New Roman" w:cs="Times New Roman"/>
                <w:lang w:eastAsia="ru-RU"/>
              </w:rPr>
              <w:t>.</w:t>
            </w:r>
            <w:proofErr w:type="gramEnd"/>
            <w:r w:rsidRPr="000B37D0">
              <w:rPr>
                <w:rFonts w:ascii="Times New Roman" w:hAnsi="Times New Roman" w:cs="Times New Roman"/>
                <w:lang w:eastAsia="ru-RU"/>
              </w:rPr>
              <w:t xml:space="preserve"> что и при прямолинейном способе;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2. применяется любая твердая ставка, но чаще всего берется удвоенная (метод уменьшающегося остатка при удвоенной амортизации - метод двойной регрессии):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3. предполагаемая остаточная стоимость не засчитывается при расчете амортизации, за исключением последнего года, когда сумма амортизации ограничена величиной, необходимой для уменьшения балансовой стоимости актива до остаточной.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Регрессивный метод дает возможность начислить большую часть амортизации в первые годы функционирования объекта основных средств. Однако его амортизационный период затягивается до бесконечности. При ликвидации объекта неамортизированная часть стоимости объекта будет выражать ликвидационную стоимость (стоимость металлолома, годных запчастей и других материалов). Иногда регрессивный метод может сочетаться с равномерным: за первые годы амортизация начисляется регрессивным методом, а затем пропорциональным.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Метод двойной регрессии. При этом методе применяется удвоенная норма амортизации по сравнению с нормой, которая используется при прямолинейном (равномерном) методе.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3. Финансовые показатели использования основных средств могут быть объединены в следующие группы: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показатели объема, структуры и динамики основных средств;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показатели воспроизводства и оборачиваемости основных средств;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lastRenderedPageBreak/>
              <w:t>показатели эффективности использования основных средств;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показатели эффективности затрат на содержание и эксплуатацию основных средств;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показатели эффективности инвестиций в основные средства.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Обобщенную картину процесса движения и обновления основных средств в разрезе стандартных классификационных групп можно получить из данных приложения к годовому балансу предприятия в разделе «Амортизируемое имущество». Оценка изменений производится по первоначальной стоимости основных средств.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В ходе анализа используются такие общеизвестные методы, как горизонтальный, вертикальный, трендовый и метод анализа финансовых коэффициентов.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Из очевидного баланса производственных фондов можно вывести взаимосвязанный набор показателей для учета, анализа и оценки процесса обновления производственных фондов (ОПФ);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где - производственные фонды на конец года;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- производственные фонды на начало года;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- производственные фонды, введенные в отчетном периоде (году);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- производственные фонды, выбывшие в отчетном периоде (году).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Показатели, рассчитываемые на основе приведенного равенства: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1) индекс роста основных производственных фондов: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2) коэффициент новизны основных производственных фондов: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3) коэффициент обновления основных производственных фондов: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4) коэффициент интенсивности обновления основных производственных фондов: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5) коэффициент масштабности обновления основных производственных фондов: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6) коэффициент стабильности основных производственных фондов, который характеризует сохраняемые для дальнейшего использования фонды: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7) коэффициент выбытия основных производственных фондов: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714375" cy="457200"/>
                  <wp:effectExtent l="0" t="0" r="9525" b="0"/>
                  <wp:docPr id="2" name="Рисунок 2" descr="https://vuzlit.com/imag_/27/280663/image0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vuzlit.com/imag_/27/280663/image01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На промышленных предприятиях фондоотдача определяется по объему выпуска продукции на 1 тенге среднегодовой стоимости основных фондов. Фондоотдача - обобщающий показатель использования производственных фондов. Для выявления неиспользуемых резервов важно знать основные направления факторного анализа фондоотдачи, вытекающие из различия в подходах к моделированию данного показателя.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Наиболее проста двухфакторная модель анализа: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1476375" cy="457200"/>
                  <wp:effectExtent l="0" t="0" r="9525" b="0"/>
                  <wp:docPr id="1" name="Рисунок 1" descr="https://vuzlit.com/imag_/27/280663/image0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vuzlit.com/imag_/27/280663/image01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где f - фондоотдача;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- активная часть основных фондов;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N - объем продукции, принятый для исчисления фондоотдачи.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lastRenderedPageBreak/>
              <w:t>Рост фондоотдачи ведет к относительной экономии производственных основных фондов и к увеличению объема выпускаемой продукции. Размер относительной экономии ресурсов и доля прироста продукции в результате роста фондоотдачи определяются специальным расчетом.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Так, относительная экономия основных фондов определяется как разность между величиной среднегодовой стоимости основных фондов отчетного периода и среднегодовой стоимостью основных фондов базового года (предшествующего года), скорректированной на рост объема производства продукции.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4. Воспроизводство имеет две формы: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1. простое воспроизводство, когда затраты на возмещение износа основных средств соответствуют по величине начисленной амортизации;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2. расширенное воспроизводство, когда затраты на возмещение износа основных средств превышают сумму начисленной амортизации.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Источники финансирования воспроизводства основных средств подразделяются на собственные и заемные.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К источникам собственных средств предприятия для финансирования воспроизводства основных средств относятся: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1. собственные финансовые ресурсы и внутрихозяйственные резервы (чистый доход, амортизационные отчисления, средства, выплачиваемые органами страхования в форме возмещения потерь от стихийных бедствий, аварий и т.д.);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2. привлеченные денежные ресурсы (средства, полученные от эмиссии акций, взносов юридических и физических лиц в уставный капитал и т.д.);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3. средства республиканского бюджета и внебюджетных фондов, предоставляемые на безвозмездной основе.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К заёмным источникам финансирования воспроизводства основных средств относятся: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кредиты банков;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заемные средства других предприятий и организаций;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облигационные займы;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средства, предоставляемые иностранными инвесторами в форме кредитов и займов и др.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денежные средства, централизуемые добровольными союзами (объединениями) предприятий и финансово-промышленными группами, а также мобилизуемые предприятиями для долевого участия в строительстве</w:t>
            </w:r>
          </w:p>
          <w:p w:rsidR="000B37D0" w:rsidRPr="000B37D0" w:rsidRDefault="000B37D0" w:rsidP="000B37D0">
            <w:pPr>
              <w:rPr>
                <w:rFonts w:ascii="Times New Roman" w:hAnsi="Times New Roman" w:cs="Times New Roman"/>
                <w:lang w:eastAsia="ru-RU"/>
              </w:rPr>
            </w:pPr>
            <w:r w:rsidRPr="000B37D0">
              <w:rPr>
                <w:rFonts w:ascii="Times New Roman" w:hAnsi="Times New Roman" w:cs="Times New Roman"/>
                <w:lang w:eastAsia="ru-RU"/>
              </w:rPr>
              <w:t>финансирование из бюджета и внебюджетных фондов на возвратной и платной основе.</w:t>
            </w:r>
          </w:p>
        </w:tc>
      </w:tr>
    </w:tbl>
    <w:p w:rsidR="000B37D0" w:rsidRPr="00F078BB" w:rsidRDefault="000B37D0" w:rsidP="000B37D0">
      <w:pPr>
        <w:ind w:left="-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78BB">
        <w:rPr>
          <w:rFonts w:ascii="Times New Roman" w:hAnsi="Times New Roman" w:cs="Times New Roman"/>
          <w:b/>
          <w:sz w:val="28"/>
          <w:szCs w:val="28"/>
        </w:rPr>
        <w:lastRenderedPageBreak/>
        <w:t>Задания для самостоятельной работы:</w:t>
      </w:r>
    </w:p>
    <w:p w:rsidR="000B37D0" w:rsidRDefault="000B37D0" w:rsidP="000B37D0">
      <w:pPr>
        <w:pStyle w:val="a6"/>
        <w:ind w:left="-491"/>
        <w:jc w:val="both"/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Подготовить письменно в печатном виде три </w:t>
      </w:r>
      <w:proofErr w:type="gramStart"/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>ответа,  правильное</w:t>
      </w:r>
      <w:proofErr w:type="gramEnd"/>
      <w:r>
        <w:rPr>
          <w:rFonts w:ascii="Times New Roman" w:eastAsia="Times New Roman" w:hAnsi="Times New Roman" w:cs="Times New Roman"/>
          <w:color w:val="2E5C8A"/>
          <w:sz w:val="27"/>
          <w:szCs w:val="27"/>
          <w:lang w:eastAsia="ru-RU"/>
        </w:rPr>
        <w:t xml:space="preserve"> оформления.</w:t>
      </w:r>
    </w:p>
    <w:p w:rsidR="000B37D0" w:rsidRPr="000B37D0" w:rsidRDefault="000B37D0" w:rsidP="000B37D0">
      <w:pPr>
        <w:rPr>
          <w:rFonts w:ascii="Times New Roman" w:hAnsi="Times New Roman" w:cs="Times New Roman"/>
          <w:lang w:eastAsia="ru-RU"/>
        </w:rPr>
      </w:pPr>
      <w:r w:rsidRPr="000B37D0">
        <w:rPr>
          <w:rFonts w:ascii="Times New Roman" w:hAnsi="Times New Roman" w:cs="Times New Roman"/>
          <w:lang w:eastAsia="ru-RU"/>
        </w:rPr>
        <w:t>1. Базовые понятия финансовой математики. Способы начисления процентов</w:t>
      </w:r>
    </w:p>
    <w:p w:rsidR="000B37D0" w:rsidRPr="000B37D0" w:rsidRDefault="000B37D0" w:rsidP="000B37D0">
      <w:pPr>
        <w:rPr>
          <w:rFonts w:ascii="Times New Roman" w:hAnsi="Times New Roman" w:cs="Times New Roman"/>
          <w:lang w:eastAsia="ru-RU"/>
        </w:rPr>
      </w:pPr>
      <w:r w:rsidRPr="000B37D0">
        <w:rPr>
          <w:rFonts w:ascii="Times New Roman" w:hAnsi="Times New Roman" w:cs="Times New Roman"/>
          <w:lang w:eastAsia="ru-RU"/>
        </w:rPr>
        <w:t>2. Простые и сложные ставки ссудных процентов.</w:t>
      </w:r>
    </w:p>
    <w:p w:rsidR="000B37D0" w:rsidRPr="000B37D0" w:rsidRDefault="000B37D0" w:rsidP="000B37D0">
      <w:pPr>
        <w:rPr>
          <w:rFonts w:ascii="Times New Roman" w:hAnsi="Times New Roman" w:cs="Times New Roman"/>
          <w:lang w:eastAsia="ru-RU"/>
        </w:rPr>
      </w:pPr>
      <w:r w:rsidRPr="000B37D0">
        <w:rPr>
          <w:rFonts w:ascii="Times New Roman" w:hAnsi="Times New Roman" w:cs="Times New Roman"/>
          <w:lang w:eastAsia="ru-RU"/>
        </w:rPr>
        <w:t>3. Простые и сложные учетные ставки</w:t>
      </w:r>
    </w:p>
    <w:p w:rsidR="000B37D0" w:rsidRPr="000B37D0" w:rsidRDefault="000B37D0" w:rsidP="000B37D0">
      <w:pPr>
        <w:rPr>
          <w:rFonts w:ascii="Times New Roman" w:hAnsi="Times New Roman" w:cs="Times New Roman"/>
          <w:lang w:eastAsia="ru-RU"/>
        </w:rPr>
      </w:pPr>
      <w:r w:rsidRPr="000B37D0">
        <w:rPr>
          <w:rFonts w:ascii="Times New Roman" w:hAnsi="Times New Roman" w:cs="Times New Roman"/>
          <w:lang w:eastAsia="ru-RU"/>
        </w:rPr>
        <w:t>4. Эквивалентность процентных ставок различного типа</w:t>
      </w:r>
    </w:p>
    <w:p w:rsidR="000B37D0" w:rsidRPr="000B37D0" w:rsidRDefault="000B37D0" w:rsidP="000B37D0">
      <w:pPr>
        <w:rPr>
          <w:rFonts w:ascii="Times New Roman" w:hAnsi="Times New Roman" w:cs="Times New Roman"/>
          <w:lang w:eastAsia="ru-RU"/>
        </w:rPr>
      </w:pPr>
      <w:r w:rsidRPr="000B37D0">
        <w:rPr>
          <w:rFonts w:ascii="Times New Roman" w:hAnsi="Times New Roman" w:cs="Times New Roman"/>
          <w:lang w:eastAsia="ru-RU"/>
        </w:rPr>
        <w:t>5. Учет инфляционного обесценения денег в принятии финансовых решений</w:t>
      </w:r>
    </w:p>
    <w:p w:rsidR="000E601A" w:rsidRDefault="000E601A" w:rsidP="000B37D0">
      <w:bookmarkStart w:id="0" w:name="_GoBack"/>
      <w:bookmarkEnd w:id="0"/>
    </w:p>
    <w:sectPr w:rsidR="000E601A" w:rsidSect="000B37D0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B51D0"/>
    <w:multiLevelType w:val="multilevel"/>
    <w:tmpl w:val="B5341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115061"/>
    <w:multiLevelType w:val="multilevel"/>
    <w:tmpl w:val="D65E4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D06DFD"/>
    <w:multiLevelType w:val="multilevel"/>
    <w:tmpl w:val="B0622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712049"/>
    <w:multiLevelType w:val="multilevel"/>
    <w:tmpl w:val="8A708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FA4FA2"/>
    <w:multiLevelType w:val="multilevel"/>
    <w:tmpl w:val="6F2A2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D13415"/>
    <w:multiLevelType w:val="multilevel"/>
    <w:tmpl w:val="ABE2A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A25A59"/>
    <w:multiLevelType w:val="multilevel"/>
    <w:tmpl w:val="7EC60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AF4305"/>
    <w:multiLevelType w:val="multilevel"/>
    <w:tmpl w:val="A880D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676C5F"/>
    <w:multiLevelType w:val="multilevel"/>
    <w:tmpl w:val="A748D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4246F4"/>
    <w:multiLevelType w:val="multilevel"/>
    <w:tmpl w:val="697C4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B93F38"/>
    <w:multiLevelType w:val="multilevel"/>
    <w:tmpl w:val="0520E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6187A3F"/>
    <w:multiLevelType w:val="multilevel"/>
    <w:tmpl w:val="1A12A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F21659D"/>
    <w:multiLevelType w:val="multilevel"/>
    <w:tmpl w:val="21345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9"/>
  </w:num>
  <w:num w:numId="5">
    <w:abstractNumId w:val="10"/>
  </w:num>
  <w:num w:numId="6">
    <w:abstractNumId w:val="5"/>
  </w:num>
  <w:num w:numId="7">
    <w:abstractNumId w:val="7"/>
  </w:num>
  <w:num w:numId="8">
    <w:abstractNumId w:val="11"/>
  </w:num>
  <w:num w:numId="9">
    <w:abstractNumId w:val="4"/>
  </w:num>
  <w:num w:numId="10">
    <w:abstractNumId w:val="6"/>
  </w:num>
  <w:num w:numId="11">
    <w:abstractNumId w:val="12"/>
  </w:num>
  <w:num w:numId="12">
    <w:abstractNumId w:val="8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E3A"/>
    <w:rsid w:val="000B37D0"/>
    <w:rsid w:val="000E601A"/>
    <w:rsid w:val="00E04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D2B97"/>
  <w15:chartTrackingRefBased/>
  <w15:docId w15:val="{D72DFD8A-D2B5-4119-8DAD-7208D76F7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B37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B37D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0B37D0"/>
    <w:rPr>
      <w:color w:val="0000FF"/>
      <w:u w:val="single"/>
    </w:rPr>
  </w:style>
  <w:style w:type="character" w:customStyle="1" w:styleId="prevshort">
    <w:name w:val="prevshort"/>
    <w:basedOn w:val="a0"/>
    <w:rsid w:val="000B37D0"/>
  </w:style>
  <w:style w:type="character" w:customStyle="1" w:styleId="nextshort">
    <w:name w:val="nextshort"/>
    <w:basedOn w:val="a0"/>
    <w:rsid w:val="000B37D0"/>
  </w:style>
  <w:style w:type="paragraph" w:styleId="a4">
    <w:name w:val="Normal (Web)"/>
    <w:basedOn w:val="a"/>
    <w:uiPriority w:val="99"/>
    <w:semiHidden/>
    <w:unhideWhenUsed/>
    <w:rsid w:val="000B37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0B37D0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0B3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39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1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4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01850">
          <w:marLeft w:val="75"/>
          <w:marRight w:val="7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3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48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2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62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2157315">
          <w:marLeft w:val="0"/>
          <w:marRight w:val="0"/>
          <w:marTop w:val="0"/>
          <w:marBottom w:val="240"/>
          <w:divBdr>
            <w:top w:val="single" w:sz="6" w:space="8" w:color="999999"/>
            <w:left w:val="single" w:sz="6" w:space="30" w:color="999999"/>
            <w:bottom w:val="single" w:sz="6" w:space="12" w:color="999999"/>
            <w:right w:val="single" w:sz="6" w:space="8" w:color="999999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3271</Words>
  <Characters>18650</Characters>
  <Application>Microsoft Office Word</Application>
  <DocSecurity>0</DocSecurity>
  <Lines>155</Lines>
  <Paragraphs>43</Paragraphs>
  <ScaleCrop>false</ScaleCrop>
  <Company/>
  <LinksUpToDate>false</LinksUpToDate>
  <CharactersWithSpaces>21878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2025-09-29T04:01:00Z</dcterms:created>
  <dcterms:modified xsi:type="dcterms:W3CDTF">2025-09-29T04:06:00Z</dcterms:modified>
</cp:coreProperties>
</file>